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  <w:t>关于公布合水县县级第一批群众和企业到政府“最多跑一次”办事事项的公告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按照《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合水县“一网通办”改革工作推进方案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》（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合政办发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〔201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号）要求，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全省营商环境建设年和“放管服”改革突破年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为契机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，以群众和企业到政府办事“最多跑一次”为目标，全面推行“一窗办、一网办、简化办、马上办”改革，切实解决群众反映强烈的办事难、办事慢、办事繁等问题，着力增强人民群众获得感。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审改办会同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政府政务服务中心编制了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级第一批“最多跑一次”事项（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185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项），予以公布。即日起，公告事项可通过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合水县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政府政务服务大厅或甘肃政务服务网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子站办理，欢迎广大人民群众进行监督。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8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监督电话：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5523093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电子邮箱：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instrText xml:space="preserve"> HYPERLINK "mailto:qysbwb@163.com"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  <w:lang w:val="en-US" w:eastAsia="zh-CN"/>
        </w:rPr>
        <w:t>hsxbb</w: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t>@163.com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合水县县级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第一批群众和企业到政府“最多跑一次” 办事事项目录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1360" w:firstLineChars="400"/>
        <w:textAlignment w:val="auto"/>
        <w:outlineLvl w:val="9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合水县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行政审批制度改革工作领导小组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办公室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880" w:firstLineChars="259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合水县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人民政府政务服务中心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                                                              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880" w:firstLineChars="259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880" w:firstLineChars="259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 xml:space="preserve">       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2018年3月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336"/>
        <w:textAlignment w:val="auto"/>
        <w:outlineLvl w:val="9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instrText xml:space="preserve"> HYPERLINK "http://www.qybb.gov.cn/qy_tzgg/qy_xzspzdgg/201803/P020180314336867724988.docx"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t>附件：</w: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  <w:lang w:eastAsia="zh-CN"/>
        </w:rPr>
        <w:t>合水县县级</w: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t>第一批群众和企业到政府“最多跑一次” 办事事项目录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4"/>
          <w:szCs w:val="34"/>
          <w:u w:val="none"/>
          <w:shd w:val="clear" w:fill="FFFFFF"/>
        </w:rPr>
      </w:pPr>
    </w:p>
    <w:p>
      <w:pPr>
        <w:widowControl/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合水县县级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第一批群众和企业到政府“最多跑一次”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办事事项目录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（一）行政权力“最多跑一次”事项表（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38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项）</w:t>
      </w:r>
    </w:p>
    <w:tbl>
      <w:tblPr>
        <w:tblStyle w:val="9"/>
        <w:tblpPr w:leftFromText="180" w:rightFromText="180" w:vertAnchor="text" w:horzAnchor="page" w:tblpX="1708" w:tblpY="48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20"/>
        <w:gridCol w:w="2130"/>
        <w:gridCol w:w="1350"/>
        <w:gridCol w:w="138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主项名称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子项名称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事项类型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实施部门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  <w:t>民办职业培训学校的设立、分设、合并、变更、终止审批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民办职业培训学校的设立审批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人社局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  <w:t>民办职业培训学校的设立、分设、合并、变更、终止审批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民办职业培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训学校的分设审批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人社局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  <w:t>民办职业培训学校的设立、分设、合并、变更、终止审批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民办职业培训学校的合并审批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人社局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  <w:t>民办职业培训学校的设立、分设、合并、变更、终止审批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民办职业培训学校的变更审批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人社局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  <w:t>民办职业培训学校的设立、分设、合并、变更、终止审批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民办职业培训学校的终止审批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人社局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医师和护士执业注册许可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医师执业注册许可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县卫计局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医师和护士执业注册许可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医师变更执业许可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县卫计局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医师和护士执业注册许可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医师变更执业许可（区内变更区外）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县卫计局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医师和护士执业注册许可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护士执业注册许可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县卫计局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医师和护士执业注册许可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护士变更执业许可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县卫计局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医师和护士执业注册许可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护士延续注册许可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县卫计局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危险化学品经营许可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危险化学品经营许可证（新办）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危险化学品经营许可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危险化学品经营许可证（延期）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危险化学品经营许可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危险化学品经营许可证（变更）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危险化学品经营许可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危险化学品经营许可证（注销）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烟花爆竹经营（批发）许可证（新办）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烟花爆竹经营（批发）许可证（延期）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18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烟花爆竹经营（批发）许可证（变更）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烟花爆竹经营（批发）许可证（注销）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生产经营单位新（改、扩）建设项目安全设施设计审查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非煤矿山建设项目安全设施设计审查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生产经营单位新（改、扩）建设项目安全设施设计审查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危险化学品建设项目安全设施设计审查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生产经营单位新（改、扩）建设项目安全设施设计审查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金属冶炼建设项目安全设施设计审查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生产经营单位新（改、扩）建设项目安全设施设计审查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烟花爆竹建设项目安全设施设计审查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县安监局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猎捕非国家重点保护野生动物审批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非国家重点保护野生动物猎捕证审批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林业局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增值税专用发票（增值税税控系统）最高开票限额审批(十万元以下）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w w:val="90"/>
                <w:kern w:val="0"/>
                <w:sz w:val="24"/>
              </w:rPr>
              <w:t>企业印制发票的审批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对纳税人延期申报的核准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对纳税人延期缴纳税款的核准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对纳税人变更纳税定额的核准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非居民企业选择由其主要机构场所汇总缴纳企业所得税的审批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对采取实际利润额预缴以外的其他企业所得税预缴方式的核定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县国税局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食品经营许可证核发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县食药局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食品经营许可证变更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县食药局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34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食品经营许可证注销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县食药局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食品经营许可证延续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县食药局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36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食品经营许可证补发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县食药局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37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城乡集贸市场销售非处方药品审批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县食药局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教师资格认定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县教育局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）便民服务“最多跑一次”事项表（1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47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项）</w:t>
      </w:r>
    </w:p>
    <w:tbl>
      <w:tblPr>
        <w:tblStyle w:val="9"/>
        <w:tblpPr w:leftFromText="180" w:rightFromText="180" w:vertAnchor="text" w:horzAnchor="page" w:tblpX="1708" w:tblpY="48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121"/>
        <w:gridCol w:w="225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事项名称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实施部门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扣缴税款登记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停业登记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复业登记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跨区域涉税事项反馈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增值税一般纳税人选择简易办法计算缴纳增值税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选择按增值税小规模纳税人纳税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发票票种核定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增值税税控系统专用设备初始发行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增值税税控系统专用设备变更发行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增值税税控系统专用设备注销发行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发票退回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代开增值税发票（国税）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发票验旧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增值税发票存根联数据采集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发票认证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海关完税凭证数据采集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发票缴销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发票挂失、损毁报备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红字增值税专用发票开具申请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丢失被盗税控专用设备处理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申报类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增值税小规模纳税人（非定期定额户）申报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航空运输企业汇总缴纳增值税年度清算申报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烟类应税消费品消费税申报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酒类应税消费品消费税申报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成品油消费税申报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小汽车消费税申报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电池消费税申报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涂料消费税申报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其他类消费税申报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车辆购置税申报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居民企业所得税月（季）度预缴纳税申报（适用核定征收）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居民企业所得税年度纳税申报（适用核定征收）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非居民企业所得税季度纳税申报（适用据实申报）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非居民企业所得税季度纳税申报（适用核定征收）及不构成常设机构和国际运输免税申报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非居民企业所得税年度纳税申报（适用据实申报）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非居民企业所得税年度纳税申报（适用核定征收）及不构成常设机构和国际运输免税申报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废弃电器电子产品处理基金申报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文化事业建设费申报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定期定额个体工商户增值税申报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定期定额个体工商户消费税申报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委托代征申报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扣缴非居民企业所得税申报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代扣代缴文化事业建设费申报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代扣代缴、代收代缴报告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财务会计报告报送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出口退（免）税预申报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关联申报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国别报告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成本分摊协议副本报送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发包、出租情况报告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欠税人处置不动产或大额资产报告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纳税人合并分立情况报告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增值税优惠备案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消费税优惠备案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车辆购置税优惠备案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非居民企业享受税收协定待遇办理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企业所得税优惠备案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股权激励或以技术成果投资入股递延纳税报告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出口退（免）税备案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集团公司成员企业备案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融资租赁企业退税备案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边贸代理出口备案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出口企业放弃退（免）税权备案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出口企业申请出口退税提醒服务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跨境应税行为免征增值税备案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非居民企业股权转让适用特殊性税务处理的备案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服务贸易等项目对外支付税务备案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完税证明开具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证明类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《非居民企业汇总申报企业所得税证明》开具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丢失增值税专用发票已报税证明单开具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《车辆购置税完税证明》补办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《车辆购置税完税证明》更正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自然人纳税人信息采集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扣缴税款登记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跨区域涉税事项反馈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停业登记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复业登记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代开增值税发票（地税）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红字增值税专用发票开具申请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居民企业所得税月（季）度预缴纳税申报（适用核定征收）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居民企业所得税年度纳税申报（适用核定征收）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居民企业清算企业所得税申报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非居民企业所得税季度纳税申报（适用据实申报）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非居民企业所得税季度纳税申报（适用核定征收）及不构成常设机构和国际运输免税申报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非居民企业所得税年度纳税申报（适用据实申报）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非居民企业所得税年度纳税申报（适用核定征收）及不构成常设机构和国际运输免税申报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自然人纳税人个人所得税自行纳税申报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生产、经营纳税人个人所得税自行纳税申报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房产税申报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城镇土地使用税申报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土地增值税预征申报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耕地占用税申报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烟叶税申报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城市维护建设税申报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教育费附加和地方教育附加申报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委托代征申报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扣缴车船税申报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扣缴非居民企业所得税申报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扣缴个人所得税申报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代扣代缴、代收代缴报告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财务会计报告报送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申报错误更正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欠税人处置不动产或大额资产报告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纳税人合并分立情况报告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关联申报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国别报告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成本分摊协议报告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非居民企业股权转让适用特殊性税务处理的备案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非居民企业享受税收协定待遇办理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企业所得税优惠备案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个人所得税优惠备案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非居民个人享受税收协定待遇办理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城镇土地使用税优惠备案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土地增值税优惠备案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耕地占用税优惠备案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印花税优惠备案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车船税优惠备案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城市维护建设税优惠备案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教育费附加优惠备案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完税证明开具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开具个人所得税完税证明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《非居民企业汇总申报企业所得税证明》开具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146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丢失增值税专用发票已报税证明单开具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147</w:t>
            </w:r>
          </w:p>
        </w:tc>
        <w:tc>
          <w:tcPr>
            <w:tcW w:w="4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《资源税管理证明》开具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地税局</w:t>
            </w:r>
          </w:p>
        </w:tc>
        <w:tc>
          <w:tcPr>
            <w:tcW w:w="129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3D3D3D"/>
          <w:sz w:val="31"/>
          <w:szCs w:val="3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E4195"/>
    <w:rsid w:val="009E6149"/>
    <w:rsid w:val="00A47FB4"/>
    <w:rsid w:val="00C53402"/>
    <w:rsid w:val="00ED0D50"/>
    <w:rsid w:val="046E4195"/>
    <w:rsid w:val="0C097C75"/>
    <w:rsid w:val="0D820E09"/>
    <w:rsid w:val="14951306"/>
    <w:rsid w:val="32ED111B"/>
    <w:rsid w:val="36E83892"/>
    <w:rsid w:val="379F5E35"/>
    <w:rsid w:val="3A1545C1"/>
    <w:rsid w:val="49D57216"/>
    <w:rsid w:val="4BED4080"/>
    <w:rsid w:val="5D8D18A5"/>
    <w:rsid w:val="6EE71086"/>
    <w:rsid w:val="757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0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1138</Words>
  <Characters>6493</Characters>
  <Lines>54</Lines>
  <Paragraphs>15</Paragraphs>
  <ScaleCrop>false</ScaleCrop>
  <LinksUpToDate>false</LinksUpToDate>
  <CharactersWithSpaces>7616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2018-03-12T04:22:00Z</dcterms:created>
  <dc:creator>Administrator</dc:creator>
  <cp:lastModifiedBy>HX</cp:lastModifiedBy>
  <dcterms:modified xsi:type="dcterms:W3CDTF">2018-04-08T00:15:24Z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